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bookmarkStart w:id="0" w:name="_GoBack"/>
            <w:bookmarkEnd w:id="0"/>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2722CA">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 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(wP) i rezultatu (wR).</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Uczestnikiem szkolenia musi być osoba odpowiedzialna za osiągnięcie celów/realizację operacji. LGD 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t>
            </w:r>
            <w:r w:rsidRPr="008811F2">
              <w:rPr>
                <w:rFonts w:cs="Calibri"/>
                <w:sz w:val="16"/>
                <w:szCs w:val="16"/>
              </w:rPr>
              <w:lastRenderedPageBreak/>
              <w:t xml:space="preserve">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Szkolenie z zakresu </w:t>
            </w:r>
            <w:r w:rsidRPr="008811F2">
              <w:rPr>
                <w:rFonts w:eastAsia="Times New Roman" w:cs="Calibri"/>
                <w:sz w:val="16"/>
                <w:szCs w:val="16"/>
                <w:lang w:eastAsia="pl-PL"/>
              </w:rPr>
              <w:lastRenderedPageBreak/>
              <w:t>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warunków dostępu, wypełnienia wniosku,  biznesplanu/studium wykonalności, </w:t>
            </w:r>
            <w:r w:rsidRPr="008811F2">
              <w:rPr>
                <w:rFonts w:eastAsia="Times New Roman" w:cs="Calibri"/>
                <w:sz w:val="16"/>
                <w:szCs w:val="16"/>
                <w:lang w:eastAsia="pl-PL"/>
              </w:rPr>
              <w:lastRenderedPageBreak/>
              <w:t>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zaświadczenie wydawane jest dla uczestnika szkolenia wpisanego we wniosku jako wnioskodawca, osoba upoważniona do reprezentowania, pełnomocnik lub osoba do kontaktu. </w:t>
            </w:r>
            <w:r w:rsidRPr="008811F2">
              <w:rPr>
                <w:rFonts w:cs="Calibri"/>
                <w:sz w:val="16"/>
                <w:szCs w:val="16"/>
              </w:rPr>
              <w:lastRenderedPageBreak/>
              <w:t>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mieszkańców związane z zarządzaniem, pozyskiwaniem i rozliczaniem środków, 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Brak instytucji otoczenia biznesu, brak kompleksowego </w:t>
            </w:r>
            <w:r w:rsidRPr="008811F2">
              <w:rPr>
                <w:rFonts w:eastAsia="Times New Roman" w:cs="Calibri"/>
                <w:sz w:val="16"/>
                <w:szCs w:val="16"/>
                <w:lang w:eastAsia="pl-PL"/>
              </w:rPr>
              <w:lastRenderedPageBreak/>
              <w:t>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 xml:space="preserve">Weryfikowane na podstawie danych ze strony na dzień złożenia wniosku oraz weryfikacja na podstawie PKD wpisanego we  wniosku (dotyczy operacji w zakresie rozwijania działalności gospodarczej)  i biznesplanie wskazującego nową </w:t>
            </w:r>
            <w:r w:rsidRPr="008811F2">
              <w:rPr>
                <w:rFonts w:eastAsia="Times New Roman" w:cs="Calibri"/>
                <w:sz w:val="16"/>
                <w:szCs w:val="16"/>
              </w:rPr>
              <w:lastRenderedPageBreak/>
              <w:t>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6B735C">
            <w:pPr>
              <w:spacing w:after="0" w:line="240" w:lineRule="auto"/>
              <w:rPr>
                <w:rFonts w:cs="Calibri"/>
                <w:sz w:val="16"/>
                <w:szCs w:val="16"/>
              </w:rPr>
            </w:pPr>
            <w:r w:rsidRPr="008811F2">
              <w:rPr>
                <w:rFonts w:cs="Calibri"/>
                <w:sz w:val="16"/>
                <w:szCs w:val="16"/>
              </w:rPr>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informacji we wniosku lub biznesplanie. Koszty związane z wprowadzeniem innowacji wykazane w zestawieniu rzeczowo-finansowym 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 lub znaczące ulepszenie oferowanych uprzednio towarów i usług;</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 lub dostawy;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innowację marketingową - zastosowanie nowej metody marketingowej obejmującej znaczące </w:t>
            </w:r>
            <w:r w:rsidRPr="008811F2">
              <w:rPr>
                <w:rFonts w:eastAsia="Times New Roman" w:cs="Calibri"/>
                <w:sz w:val="16"/>
                <w:szCs w:val="16"/>
                <w:lang w:eastAsia="pl-PL"/>
              </w:rPr>
              <w:lastRenderedPageBreak/>
              <w:t>zmiany w wyglądzie produktu, jego opakowaniu, pozycjonowaniu, promocji, polityce cenowej lub modelu biznesowym, wynikającej z nowej strategii marketingowej przedsiębiorstwa;</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Ograniczona możliwość dostępu do innowacji ze względu na relatywnie wysokie koszty nowych 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5C1A19">
        <w:trPr>
          <w:trHeight w:val="315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dołączono wymagane pozwolenie na budowę i/lub zgłoszenie wraz z brakiem sprzeciwu lub decyzją 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 xml:space="preserve">Załączona dokumentacja powinna być kompletna (wnioski załącznikami w tym na CD) </w:t>
            </w:r>
          </w:p>
        </w:tc>
        <w:tc>
          <w:tcPr>
            <w:tcW w:w="1886" w:type="dxa"/>
            <w:vMerge w:val="restart"/>
          </w:tcPr>
          <w:p w:rsidR="008811F2" w:rsidRPr="008811F2" w:rsidRDefault="008811F2" w:rsidP="001F4380">
            <w:pPr>
              <w:spacing w:after="0" w:line="240" w:lineRule="auto"/>
              <w:rPr>
                <w:rFonts w:cs="Calibri"/>
                <w:sz w:val="16"/>
                <w:szCs w:val="16"/>
              </w:rPr>
            </w:pPr>
            <w:r w:rsidRPr="008811F2">
              <w:rPr>
                <w:rFonts w:cs="Calibri"/>
                <w:sz w:val="16"/>
                <w:szCs w:val="16"/>
              </w:rPr>
              <w:t xml:space="preserve">Pozwolenia wynikające ze specyfiki wniosku, np. pozwolenie budowlane brak sprzeciwu do zgłoszenia, </w:t>
            </w: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 xml:space="preserve">przygotowana </w:t>
            </w:r>
            <w:r w:rsidRPr="008811F2">
              <w:rPr>
                <w:rFonts w:eastAsia="Times New Roman" w:cs="Calibri"/>
                <w:sz w:val="16"/>
                <w:szCs w:val="16"/>
              </w:rPr>
              <w:lastRenderedPageBreak/>
              <w:t>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lastRenderedPageBreak/>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 xml:space="preserve">wykazuje zapotrzebowanie na realizację danego </w:t>
            </w:r>
            <w:r w:rsidRPr="008811F2">
              <w:rPr>
                <w:rFonts w:cs="Calibri"/>
                <w:sz w:val="16"/>
                <w:szCs w:val="16"/>
              </w:rPr>
              <w:lastRenderedPageBreak/>
              <w:t>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Niepowtarzalne walory przyrodniczo- krajobrazowe, związane z prowadzoną </w:t>
            </w:r>
            <w:r w:rsidRPr="008811F2">
              <w:rPr>
                <w:rFonts w:cs="Calibri"/>
                <w:sz w:val="16"/>
                <w:szCs w:val="16"/>
              </w:rPr>
              <w:lastRenderedPageBreak/>
              <w:t>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Niewystarczająca oferta i wymiana dobrych praktyk (wystawy, przeglądy w zakresie animacji grup 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spójnego oznakowania i informacji o istniejących zabytkach i atrakcjach, system 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Słabo rozwinięta i oznakowana infrastruktura </w:t>
            </w:r>
            <w:r w:rsidRPr="008811F2">
              <w:rPr>
                <w:rFonts w:cs="Calibri"/>
                <w:sz w:val="16"/>
                <w:szCs w:val="16"/>
              </w:rPr>
              <w:lastRenderedPageBreak/>
              <w:t>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lastRenderedPageBreak/>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 xml:space="preserve">alternatywną formę wsparcia (umowę partnerską, porozumienie wskazujące na doświadczenie w realizacji zadania o podobnym charakterze, np. realizacja projektu w ramach </w:t>
            </w:r>
            <w:r w:rsidRPr="008811F2">
              <w:rPr>
                <w:rFonts w:cs="Calibri"/>
                <w:sz w:val="16"/>
                <w:szCs w:val="16"/>
              </w:rPr>
              <w:lastRenderedPageBreak/>
              <w:t>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466B0C">
            <w:pPr>
              <w:snapToGrid w:val="0"/>
              <w:spacing w:after="0" w:line="240" w:lineRule="auto"/>
              <w:rPr>
                <w:rFonts w:cs="Calibri"/>
                <w:sz w:val="16"/>
                <w:szCs w:val="16"/>
              </w:rPr>
            </w:pPr>
            <w:r w:rsidRPr="008811F2">
              <w:rPr>
                <w:rFonts w:cs="Calibri"/>
                <w:sz w:val="16"/>
                <w:szCs w:val="16"/>
              </w:rPr>
              <w:t>niż 20 % kosztów kwalifikowalnych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-poprawą jakości powietrza (ograniczenie emisji gazów cieplarnianych np. filtry powietrza, napęd hybrydowy, montaż pomp ciepła);</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 xml:space="preserve">niż 5 % kosztów kwalifikowalnych lub </w:t>
            </w:r>
            <w:r w:rsidRPr="008811F2">
              <w:rPr>
                <w:rFonts w:cs="Calibri"/>
                <w:sz w:val="16"/>
                <w:szCs w:val="16"/>
              </w:rPr>
              <w:lastRenderedPageBreak/>
              <w:t>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W przypadku narzędzi promocji wymagających innych pozwoleń, zgłoszeń wniosek zawiera niezbędną 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dostępność wysokiej jakości materiałów o obszarze – przewodników, map, monografii historycznych i innych materiałów promocyjnych, w tym w językach obcych. Brak „banku” 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SIW _DB – informacja na szkoleniach o 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stron.portali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Przez komplementarność rozumie się zaplanowanie w budżecie kosztów wskazujących na bezpośrednią zależność na poziomie powstania rezultatu planowanej operacji na bazie rezultatu wcześniej zrealizowanego </w:t>
            </w:r>
            <w:r w:rsidRPr="008811F2">
              <w:rPr>
                <w:rFonts w:eastAsia="Times New Roman" w:cs="Calibri"/>
                <w:sz w:val="16"/>
                <w:szCs w:val="16"/>
                <w:lang w:eastAsia="pl-PL"/>
              </w:rPr>
              <w:lastRenderedPageBreak/>
              <w:t>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Doświadczenia ze wdrażania wielofunduszowych, zintegrowanych strategii wpływających na kompleksową ofertę i </w:t>
            </w:r>
            <w:r w:rsidRPr="008811F2">
              <w:rPr>
                <w:rFonts w:eastAsia="Times New Roman" w:cs="Calibri"/>
                <w:sz w:val="16"/>
                <w:szCs w:val="16"/>
                <w:lang w:eastAsia="pl-PL"/>
              </w:rPr>
              <w:lastRenderedPageBreak/>
              <w:t>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lastRenderedPageBreak/>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Zabytki – kościoły, zamki, pałace, parki (zabytkowe) </w:t>
            </w:r>
            <w:r w:rsidRPr="008811F2">
              <w:rPr>
                <w:rFonts w:eastAsia="Times New Roman" w:cs="Calibri"/>
                <w:sz w:val="16"/>
                <w:szCs w:val="16"/>
                <w:lang w:eastAsia="pl-PL"/>
              </w:rPr>
              <w:lastRenderedPageBreak/>
              <w:t>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Niewystarczająca oferta i wymiana dobrych praktyk (wystawy, przeglądy w zakresie animacji grup </w:t>
            </w:r>
            <w:r w:rsidRPr="008811F2">
              <w:rPr>
                <w:rFonts w:eastAsia="Times New Roman" w:cs="Calibri"/>
                <w:sz w:val="16"/>
                <w:szCs w:val="16"/>
                <w:lang w:eastAsia="pl-PL"/>
              </w:rPr>
              <w:lastRenderedPageBreak/>
              <w:t>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gospodarstw rolnych, stanowiących potencjał dla powstania lokalnych 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Defaworyzowani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 xml:space="preserve">gospodarczej realizowana jest </w:t>
            </w:r>
            <w:r w:rsidRPr="008811F2">
              <w:rPr>
                <w:rFonts w:eastAsia="Times New Roman" w:cs="Calibri"/>
                <w:sz w:val="16"/>
                <w:szCs w:val="16"/>
                <w:lang w:eastAsia="pl-PL"/>
              </w:rPr>
              <w:lastRenderedPageBreak/>
              <w:t>przez przedstawiciela jednej ze wskazanych w LSR grup defaworyzowanych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Operacja jest realizowana przez przedstawiciela grup defaworyzowanych i we wniosku określony został </w:t>
            </w:r>
            <w:r w:rsidRPr="008811F2">
              <w:rPr>
                <w:rFonts w:eastAsia="Times New Roman" w:cs="Calibri"/>
                <w:sz w:val="16"/>
                <w:szCs w:val="16"/>
                <w:lang w:eastAsia="pl-PL"/>
              </w:rPr>
              <w:lastRenderedPageBreak/>
              <w:t>wskaźnik wsparcia miejsca pracy dla osób z grupy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lastRenderedPageBreak/>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defaworyzowana została określona w strategii. </w:t>
            </w:r>
            <w:r w:rsidRPr="008811F2">
              <w:rPr>
                <w:rFonts w:cs="Calibri"/>
                <w:sz w:val="16"/>
                <w:szCs w:val="16"/>
              </w:rPr>
              <w:t xml:space="preserve">Dotyczy osoby podejmującej działalność. W przypadku niewykonywania działalności osobiście i planowanego </w:t>
            </w:r>
            <w:r w:rsidRPr="008811F2">
              <w:rPr>
                <w:rFonts w:cs="Calibri"/>
                <w:sz w:val="16"/>
                <w:szCs w:val="16"/>
              </w:rPr>
              <w:lastRenderedPageBreak/>
              <w:t>zatrudnienia innych osób z grupy defaworyzowanej dodatkowo przyznawana jest punktacja w kryterium Zaspokajanie potrzeb grup defaworyzowanych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w:t>
            </w:r>
            <w:r w:rsidRPr="008811F2">
              <w:rPr>
                <w:rFonts w:eastAsia="Times New Roman" w:cs="Calibri"/>
                <w:sz w:val="16"/>
                <w:szCs w:val="16"/>
                <w:lang w:eastAsia="pl-PL"/>
              </w:rPr>
              <w:lastRenderedPageBreak/>
              <w:t xml:space="preserve">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rż lub powyżej 50 rż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2.1.3_1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jest realizowana przez przedstawiciela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defaworyzowanych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w:t>
            </w:r>
            <w:r w:rsidRPr="008811F2">
              <w:rPr>
                <w:rFonts w:eastAsia="Times New Roman" w:cs="Calibri"/>
                <w:sz w:val="16"/>
                <w:szCs w:val="16"/>
                <w:lang w:eastAsia="pl-PL"/>
              </w:rPr>
              <w:lastRenderedPageBreak/>
              <w:t xml:space="preserve">zachowania jej trwałości zatrudniona będzie osoba ze wskazanych w LSR grup defaworyzowanych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Grupa defaworyzowana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•Zatrudnienie osoby z grupy defaworyzowanej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Brak systemu wsparcia szkoleń, szkół w zakresie nabycie kwalifikacji dostosowanych do potrzeb rynku pracy w tym branż </w:t>
            </w:r>
            <w:r w:rsidRPr="008811F2">
              <w:rPr>
                <w:rFonts w:eastAsia="Times New Roman" w:cs="Calibri"/>
                <w:sz w:val="16"/>
                <w:szCs w:val="16"/>
                <w:lang w:eastAsia="pl-PL"/>
              </w:rPr>
              <w:lastRenderedPageBreak/>
              <w:t>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 xml:space="preserve">Operacja przewiduje utworzenie jednego miejsca pracy dla osoby z grup defaworyzowanych ,we wniosku określony został wskaźnik wsparcia </w:t>
            </w:r>
            <w:r w:rsidRPr="008811F2">
              <w:rPr>
                <w:rFonts w:ascii="Calibri Light" w:eastAsia="Times New Roman" w:hAnsi="Calibri Light" w:cs="Calibri Light"/>
                <w:sz w:val="16"/>
                <w:szCs w:val="16"/>
                <w:lang w:eastAsia="pl-PL"/>
              </w:rPr>
              <w:lastRenderedPageBreak/>
              <w:t>miejsca pracy dla osób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lastRenderedPageBreak/>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przewiduje utworzenia miejsca pracy dla osoby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zakłady przetwórcze i punkty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w zakresie możliwości dywersyfikacji </w:t>
            </w:r>
            <w:r w:rsidRPr="008811F2">
              <w:rPr>
                <w:rFonts w:eastAsia="Times New Roman" w:cs="Calibri"/>
                <w:sz w:val="16"/>
                <w:szCs w:val="16"/>
                <w:lang w:eastAsia="pl-PL"/>
              </w:rPr>
              <w:lastRenderedPageBreak/>
              <w:t>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Problemy z dostępem oraz z ilością usług dla  osób starszych w zakresie  kultury i 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lastRenderedPageBreak/>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 xml:space="preserve">1. Do wniosku dołączono mapkę turystyczną lub wydruk screenu mapki dot. szlaku lub ścieżki (edycja 2021) wskazującą umiejscowienie operacji </w:t>
            </w:r>
            <w:r w:rsidRPr="008811F2">
              <w:rPr>
                <w:rFonts w:eastAsia="Times New Roman" w:cs="Calibri"/>
                <w:sz w:val="16"/>
                <w:szCs w:val="16"/>
              </w:rPr>
              <w:lastRenderedPageBreak/>
              <w:t>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Słabo rozwinięta i oznakowana infrastruktura związana ze szlakami turystycznymi, w szczególności miejscami parkingowymi, informacją o 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w:t>
            </w:r>
            <w:r w:rsidRPr="008811F2">
              <w:rPr>
                <w:rFonts w:eastAsia="Times New Roman" w:cs="Calibri"/>
                <w:sz w:val="16"/>
                <w:szCs w:val="16"/>
                <w:lang w:eastAsia="pl-PL"/>
              </w:rPr>
              <w:lastRenderedPageBreak/>
              <w:t xml:space="preserve">samorządem lokalnym na udostępnionych przez niego 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w:t>
            </w:r>
            <w:r w:rsidRPr="008811F2">
              <w:rPr>
                <w:rFonts w:eastAsia="Times New Roman" w:cs="Calibri"/>
                <w:sz w:val="16"/>
                <w:szCs w:val="16"/>
                <w:lang w:eastAsia="pl-PL"/>
              </w:rPr>
              <w:lastRenderedPageBreak/>
              <w:t xml:space="preserve">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1.2_1,2</w:t>
            </w:r>
          </w:p>
          <w:p w:rsidR="008811F2" w:rsidRPr="008811F2" w:rsidRDefault="008811F2" w:rsidP="001D5911">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weryfikowane na podstawie informacji o zameldowaniu-zaświadczenie z UG, CEiDG.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lastRenderedPageBreak/>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1.1.1_3</w:t>
            </w:r>
          </w:p>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RiMmin</w:t>
            </w:r>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A6" w:rsidRDefault="007A54A6" w:rsidP="00101965">
      <w:pPr>
        <w:spacing w:after="0" w:line="240" w:lineRule="auto"/>
      </w:pPr>
      <w:r>
        <w:separator/>
      </w:r>
    </w:p>
  </w:endnote>
  <w:endnote w:type="continuationSeparator" w:id="0">
    <w:p w:rsidR="007A54A6" w:rsidRDefault="007A54A6"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Default="005C1A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Default="005C1A19">
    <w:pPr>
      <w:pStyle w:val="Stopka"/>
      <w:jc w:val="right"/>
    </w:pPr>
    <w:r>
      <w:fldChar w:fldCharType="begin"/>
    </w:r>
    <w:r>
      <w:instrText>PAGE   \* MERGEFORMAT</w:instrText>
    </w:r>
    <w:r>
      <w:fldChar w:fldCharType="separate"/>
    </w:r>
    <w:r w:rsidR="006322EF">
      <w:rPr>
        <w:noProof/>
      </w:rPr>
      <w:t>1</w:t>
    </w:r>
    <w:r>
      <w:rPr>
        <w:noProof/>
      </w:rPr>
      <w:fldChar w:fldCharType="end"/>
    </w:r>
  </w:p>
  <w:p w:rsidR="005C1A19" w:rsidRDefault="005C1A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Default="005C1A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A6" w:rsidRDefault="007A54A6" w:rsidP="00101965">
      <w:pPr>
        <w:spacing w:after="0" w:line="240" w:lineRule="auto"/>
      </w:pPr>
      <w:r>
        <w:separator/>
      </w:r>
    </w:p>
  </w:footnote>
  <w:footnote w:type="continuationSeparator" w:id="0">
    <w:p w:rsidR="007A54A6" w:rsidRDefault="007A54A6"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Default="005C1A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Pr="00A766FB" w:rsidRDefault="005C1A19" w:rsidP="00A766FB">
    <w:pPr>
      <w:spacing w:after="0" w:line="23" w:lineRule="atLeast"/>
      <w:jc w:val="right"/>
      <w:rPr>
        <w:rFonts w:ascii="Times New Roman" w:hAnsi="Times New Roman"/>
        <w:i/>
        <w:sz w:val="20"/>
        <w:szCs w:val="20"/>
      </w:rPr>
    </w:pPr>
    <w:r>
      <w:rPr>
        <w:rFonts w:ascii="Times New Roman" w:hAnsi="Times New Roman"/>
        <w:i/>
        <w:sz w:val="20"/>
        <w:szCs w:val="20"/>
      </w:rPr>
      <w:t xml:space="preserve">Załącznik 4 </w:t>
    </w:r>
    <w:r w:rsidRPr="00A766FB">
      <w:rPr>
        <w:rFonts w:ascii="Times New Roman" w:hAnsi="Times New Roman"/>
        <w:i/>
        <w:sz w:val="20"/>
        <w:szCs w:val="20"/>
      </w:rPr>
      <w:t xml:space="preserve">do </w:t>
    </w:r>
    <w:r>
      <w:rPr>
        <w:rFonts w:ascii="Times New Roman" w:hAnsi="Times New Roman"/>
        <w:i/>
        <w:sz w:val="20"/>
        <w:szCs w:val="20"/>
      </w:rPr>
      <w:t xml:space="preserve">Uchwały nr V/11/21 </w:t>
    </w:r>
    <w:r w:rsidRPr="00A766FB">
      <w:rPr>
        <w:rFonts w:ascii="Times New Roman" w:hAnsi="Times New Roman"/>
        <w:i/>
        <w:sz w:val="20"/>
        <w:szCs w:val="20"/>
      </w:rPr>
      <w:t xml:space="preserve">Zarządu </w:t>
    </w:r>
  </w:p>
  <w:p w:rsidR="005C1A19" w:rsidRDefault="005C1A19" w:rsidP="00A766FB">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r>
      <w:rPr>
        <w:rFonts w:ascii="Times New Roman" w:hAnsi="Times New Roman"/>
        <w:i/>
        <w:sz w:val="20"/>
        <w:szCs w:val="20"/>
      </w:rPr>
      <w:t>.  28.04.2021</w:t>
    </w:r>
    <w:r w:rsidRPr="00A766FB">
      <w:rPr>
        <w:rFonts w:ascii="Times New Roman" w:hAnsi="Times New Roman"/>
        <w:i/>
        <w:sz w:val="20"/>
        <w:szCs w:val="20"/>
      </w:rPr>
      <w:t>r.</w:t>
    </w:r>
  </w:p>
  <w:p w:rsidR="005C1A19" w:rsidRDefault="005C1A19" w:rsidP="00A766FB">
    <w:pPr>
      <w:spacing w:after="0" w:line="23" w:lineRule="atLeast"/>
      <w:jc w:val="right"/>
      <w:rPr>
        <w:rFonts w:ascii="Times New Roman" w:hAnsi="Times New Roman"/>
        <w:i/>
        <w:sz w:val="20"/>
        <w:szCs w:val="20"/>
      </w:rPr>
    </w:pPr>
    <w:r>
      <w:rPr>
        <w:rFonts w:ascii="Times New Roman" w:hAnsi="Times New Roman"/>
        <w:i/>
        <w:sz w:val="20"/>
        <w:szCs w:val="20"/>
      </w:rPr>
      <w:t>Akceptacja Samorządu Województwa w dn. 2021-06-09</w:t>
    </w:r>
  </w:p>
  <w:p w:rsidR="005C1A19" w:rsidRPr="00A766FB" w:rsidRDefault="005C1A19"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5C1A19" w:rsidRDefault="005C1A19"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5C1A19" w:rsidRDefault="005C1A19"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5C1A19" w:rsidRDefault="005C1A19"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5C1A19" w:rsidRDefault="005C1A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19" w:rsidRDefault="005C1A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52693"/>
    <w:rsid w:val="00056DA9"/>
    <w:rsid w:val="00057D70"/>
    <w:rsid w:val="00057DF0"/>
    <w:rsid w:val="00060D17"/>
    <w:rsid w:val="0006102D"/>
    <w:rsid w:val="00063D31"/>
    <w:rsid w:val="000656A4"/>
    <w:rsid w:val="000665F9"/>
    <w:rsid w:val="000708AD"/>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4E35"/>
    <w:rsid w:val="003C5714"/>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F7"/>
    <w:rsid w:val="004E5DDF"/>
    <w:rsid w:val="004E6D26"/>
    <w:rsid w:val="004E71B0"/>
    <w:rsid w:val="004E76DD"/>
    <w:rsid w:val="004F016B"/>
    <w:rsid w:val="004F0A16"/>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3C2E"/>
    <w:rsid w:val="005B4121"/>
    <w:rsid w:val="005B4210"/>
    <w:rsid w:val="005B761D"/>
    <w:rsid w:val="005C17E0"/>
    <w:rsid w:val="005C1A19"/>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22EF"/>
    <w:rsid w:val="006347E8"/>
    <w:rsid w:val="00634BDD"/>
    <w:rsid w:val="0063594D"/>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5813"/>
    <w:rsid w:val="006B119D"/>
    <w:rsid w:val="006B31A5"/>
    <w:rsid w:val="006B50AD"/>
    <w:rsid w:val="006B735C"/>
    <w:rsid w:val="006C1046"/>
    <w:rsid w:val="006C250E"/>
    <w:rsid w:val="006C261F"/>
    <w:rsid w:val="006C2B76"/>
    <w:rsid w:val="006D1DB0"/>
    <w:rsid w:val="006D7D5C"/>
    <w:rsid w:val="006E1846"/>
    <w:rsid w:val="006E3216"/>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E"/>
    <w:rsid w:val="007624C9"/>
    <w:rsid w:val="0076272F"/>
    <w:rsid w:val="007627DE"/>
    <w:rsid w:val="007651D7"/>
    <w:rsid w:val="00766525"/>
    <w:rsid w:val="00770176"/>
    <w:rsid w:val="00771864"/>
    <w:rsid w:val="00771F8B"/>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54A6"/>
    <w:rsid w:val="007A62C4"/>
    <w:rsid w:val="007B0A73"/>
    <w:rsid w:val="007B1705"/>
    <w:rsid w:val="007B2887"/>
    <w:rsid w:val="007B63CD"/>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73F1"/>
    <w:rsid w:val="009876E7"/>
    <w:rsid w:val="009901FF"/>
    <w:rsid w:val="00992718"/>
    <w:rsid w:val="00992933"/>
    <w:rsid w:val="009969EF"/>
    <w:rsid w:val="00997311"/>
    <w:rsid w:val="009A1A52"/>
    <w:rsid w:val="009A3CDB"/>
    <w:rsid w:val="009A43C4"/>
    <w:rsid w:val="009A57D4"/>
    <w:rsid w:val="009A631C"/>
    <w:rsid w:val="009A7B7D"/>
    <w:rsid w:val="009B1359"/>
    <w:rsid w:val="009B3CAA"/>
    <w:rsid w:val="009B3EB7"/>
    <w:rsid w:val="009B4DF7"/>
    <w:rsid w:val="009B52BD"/>
    <w:rsid w:val="009B5FFF"/>
    <w:rsid w:val="009B66F6"/>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994"/>
    <w:rsid w:val="00AC6A52"/>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595"/>
    <w:rsid w:val="00B74D04"/>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3635"/>
    <w:rsid w:val="00D84E2F"/>
    <w:rsid w:val="00D9164B"/>
    <w:rsid w:val="00D9170F"/>
    <w:rsid w:val="00D91956"/>
    <w:rsid w:val="00D91B4A"/>
    <w:rsid w:val="00D93704"/>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46A5"/>
    <w:rsid w:val="00E14D0B"/>
    <w:rsid w:val="00E17123"/>
    <w:rsid w:val="00E20723"/>
    <w:rsid w:val="00E21436"/>
    <w:rsid w:val="00E304B5"/>
    <w:rsid w:val="00E30756"/>
    <w:rsid w:val="00E3299F"/>
    <w:rsid w:val="00E346C7"/>
    <w:rsid w:val="00E35350"/>
    <w:rsid w:val="00E355F7"/>
    <w:rsid w:val="00E429BB"/>
    <w:rsid w:val="00E43ED2"/>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F230-D179-40A0-AA08-2AD7883C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7630</Words>
  <Characters>45785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53309</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esnazyk</cp:lastModifiedBy>
  <cp:revision>2</cp:revision>
  <cp:lastPrinted>2017-09-05T09:02:00Z</cp:lastPrinted>
  <dcterms:created xsi:type="dcterms:W3CDTF">2022-09-13T10:00:00Z</dcterms:created>
  <dcterms:modified xsi:type="dcterms:W3CDTF">2022-09-13T10:00:00Z</dcterms:modified>
</cp:coreProperties>
</file>